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D8A2D" w14:textId="1166D1BD" w:rsidR="007C022C" w:rsidRDefault="007C022C" w:rsidP="007C022C">
      <w:pPr>
        <w:rPr>
          <w:rFonts w:ascii="Arial" w:hAnsi="Arial" w:cs="Arial"/>
          <w:i/>
          <w:color w:val="ED7D31" w:themeColor="accent2"/>
          <w:sz w:val="24"/>
          <w:szCs w:val="24"/>
        </w:rPr>
      </w:pPr>
      <w:r>
        <w:rPr>
          <w:rFonts w:ascii="Arial" w:hAnsi="Arial" w:cs="Arial"/>
          <w:b/>
          <w:sz w:val="28"/>
          <w:szCs w:val="28"/>
        </w:rPr>
        <w:t>Case Study</w:t>
      </w:r>
      <w:r>
        <w:rPr>
          <w:rFonts w:ascii="Arial" w:hAnsi="Arial" w:cs="Arial"/>
          <w:sz w:val="28"/>
          <w:szCs w:val="28"/>
        </w:rPr>
        <w:t xml:space="preserve">: </w:t>
      </w:r>
      <w:r>
        <w:rPr>
          <w:rFonts w:ascii="Arial" w:hAnsi="Arial" w:cs="Arial"/>
          <w:i/>
          <w:color w:val="ED7D31" w:themeColor="accent2"/>
          <w:sz w:val="24"/>
          <w:szCs w:val="24"/>
        </w:rPr>
        <w:t xml:space="preserve">Assessing the Curriculum of the Food Science Undergraduate Program at the University of Guelph. </w:t>
      </w:r>
    </w:p>
    <w:p w14:paraId="5FCAB7F0" w14:textId="4B8F1119" w:rsidR="007C022C" w:rsidRPr="007C022C" w:rsidRDefault="007C022C" w:rsidP="007C022C">
      <w:pPr>
        <w:jc w:val="both"/>
        <w:rPr>
          <w:rFonts w:ascii="Arial" w:hAnsi="Arial" w:cs="Arial"/>
          <w:b/>
          <w:sz w:val="24"/>
          <w:szCs w:val="24"/>
          <w:u w:val="single"/>
          <w:lang w:bidi="el-GR"/>
        </w:rPr>
      </w:pPr>
      <w:r w:rsidRPr="007C022C">
        <w:rPr>
          <w:rFonts w:ascii="Arial" w:hAnsi="Arial" w:cs="Arial"/>
          <w:b/>
          <w:sz w:val="24"/>
          <w:szCs w:val="24"/>
          <w:u w:val="single"/>
          <w:lang w:bidi="el-GR"/>
        </w:rPr>
        <w:t>Overview</w:t>
      </w:r>
      <w:r w:rsidRPr="007C022C">
        <w:rPr>
          <w:rFonts w:ascii="Arial" w:hAnsi="Arial" w:cs="Arial"/>
          <w:b/>
          <w:sz w:val="24"/>
          <w:szCs w:val="24"/>
          <w:lang w:bidi="el-GR"/>
        </w:rPr>
        <w:t xml:space="preserve">: </w:t>
      </w:r>
      <w:r w:rsidRPr="007C022C">
        <w:rPr>
          <w:rFonts w:ascii="Arial" w:hAnsi="Arial" w:cs="Arial"/>
          <w:i/>
          <w:sz w:val="24"/>
          <w:szCs w:val="24"/>
        </w:rPr>
        <w:t>This case-study, as part of the “Handbook for Curriculum Assessment”, explores the approach taken by Professor Art Hill and the Food Science Undergraduate Curriculum Committee to assess a</w:t>
      </w:r>
      <w:r w:rsidRPr="007C022C">
        <w:rPr>
          <w:rFonts w:ascii="Arial" w:hAnsi="Arial" w:cs="Arial"/>
          <w:i/>
          <w:sz w:val="24"/>
          <w:szCs w:val="24"/>
        </w:rPr>
        <w:t>nd continuously improve the curriculum of the Bachelor’s degree in Food Science. The assessment process, conducted in collaboration with Teaching Support Services and the Educational Research and Development Unit, utilized Kirkpatrick’s Four Levels of Evaluation and a Curriculum Development model to ensure the program meets student needs, industry expectations, and maintains professional accreditation.</w:t>
      </w:r>
    </w:p>
    <w:p w14:paraId="7EFF58FC" w14:textId="770F359A" w:rsidR="007C022C" w:rsidRDefault="007C022C" w:rsidP="007C022C">
      <w:pPr>
        <w:rPr>
          <w:rFonts w:ascii="Arial" w:hAnsi="Arial" w:cs="Arial"/>
          <w:sz w:val="28"/>
          <w:szCs w:val="28"/>
        </w:rPr>
      </w:pPr>
    </w:p>
    <w:p w14:paraId="2505C3D8" w14:textId="44784AC0" w:rsidR="007C022C" w:rsidRDefault="007C022C" w:rsidP="007C022C">
      <w:pPr>
        <w:pBdr>
          <w:top w:val="single" w:sz="24" w:space="8" w:color="4472C4" w:themeColor="accent1"/>
          <w:bottom w:val="single" w:sz="24" w:space="0" w:color="4472C4" w:themeColor="accent1"/>
        </w:pBdr>
        <w:spacing w:after="0"/>
        <w:rPr>
          <w:rFonts w:ascii="Arial" w:hAnsi="Arial" w:cs="Arial"/>
          <w:b/>
          <w:sz w:val="24"/>
          <w:szCs w:val="24"/>
          <w:lang w:bidi="el-GR"/>
        </w:rPr>
      </w:pPr>
      <w:r>
        <w:rPr>
          <w:rFonts w:ascii="Arial" w:hAnsi="Arial" w:cs="Arial"/>
          <w:b/>
          <w:sz w:val="24"/>
          <w:szCs w:val="24"/>
          <w:u w:val="single"/>
          <w:lang w:bidi="el-GR"/>
        </w:rPr>
        <w:t>Purpose of the Case Study</w:t>
      </w:r>
      <w:r>
        <w:rPr>
          <w:rFonts w:ascii="Arial" w:hAnsi="Arial" w:cs="Arial"/>
          <w:b/>
          <w:sz w:val="24"/>
          <w:szCs w:val="24"/>
          <w:lang w:bidi="el-GR"/>
        </w:rPr>
        <w:t>:</w:t>
      </w:r>
    </w:p>
    <w:p w14:paraId="0CBAF3AC" w14:textId="73CC8153" w:rsidR="007C022C" w:rsidRPr="007C022C" w:rsidRDefault="007C022C" w:rsidP="007C022C">
      <w:pPr>
        <w:pBdr>
          <w:top w:val="single" w:sz="24" w:space="8" w:color="4472C4" w:themeColor="accent1"/>
          <w:bottom w:val="single" w:sz="24" w:space="0" w:color="4472C4" w:themeColor="accent1"/>
        </w:pBdr>
        <w:spacing w:after="0"/>
        <w:jc w:val="both"/>
        <w:rPr>
          <w:rFonts w:ascii="Arial" w:hAnsi="Arial" w:cs="Arial"/>
          <w:bCs/>
          <w:sz w:val="24"/>
          <w:szCs w:val="24"/>
          <w:lang w:val="en-GB" w:bidi="el-GR"/>
        </w:rPr>
      </w:pPr>
      <w:r w:rsidRPr="007C022C">
        <w:rPr>
          <w:rFonts w:ascii="Arial" w:hAnsi="Arial" w:cs="Arial"/>
          <w:bCs/>
          <w:sz w:val="24"/>
          <w:szCs w:val="24"/>
          <w:lang w:val="en-GB" w:bidi="el-GR"/>
        </w:rPr>
        <w:t>The primary purpose of the case study is to evaluate the effectiveness of the curriculum assessment methods employed in the Food Science program and to highlight areas for improvement based on feedback from various stakeholders, including students, graduates, employers, and faculty. The case also demonstrates how curriculum assessment can be integrated into a continuous improvement model that supports program evolution and alignment with industry standards.</w:t>
      </w:r>
    </w:p>
    <w:p w14:paraId="6936F887" w14:textId="2B76595A" w:rsidR="007C022C" w:rsidRPr="007C022C" w:rsidRDefault="007C022C" w:rsidP="007C022C">
      <w:pPr>
        <w:pBdr>
          <w:top w:val="single" w:sz="24" w:space="8" w:color="4472C4" w:themeColor="accent1"/>
          <w:bottom w:val="single" w:sz="24" w:space="0" w:color="4472C4" w:themeColor="accent1"/>
        </w:pBdr>
        <w:spacing w:after="0"/>
        <w:rPr>
          <w:rFonts w:ascii="Arial" w:hAnsi="Arial" w:cs="Arial"/>
          <w:b/>
          <w:sz w:val="24"/>
          <w:szCs w:val="24"/>
          <w:lang w:val="en-GB" w:bidi="el-GR"/>
        </w:rPr>
      </w:pPr>
    </w:p>
    <w:p w14:paraId="7CE942AF" w14:textId="15B98139" w:rsidR="007C022C" w:rsidRDefault="007C022C" w:rsidP="007C022C">
      <w:pPr>
        <w:pBdr>
          <w:top w:val="single" w:sz="24" w:space="8" w:color="4472C4" w:themeColor="accent1"/>
          <w:bottom w:val="single" w:sz="24" w:space="0" w:color="4472C4" w:themeColor="accent1"/>
        </w:pBdr>
        <w:spacing w:after="0"/>
        <w:rPr>
          <w:rFonts w:ascii="Arial" w:hAnsi="Arial" w:cs="Arial"/>
          <w:b/>
          <w:sz w:val="24"/>
          <w:szCs w:val="24"/>
          <w:lang w:bidi="el-GR"/>
        </w:rPr>
      </w:pPr>
    </w:p>
    <w:p w14:paraId="7156D835" w14:textId="412D3961" w:rsidR="007C022C" w:rsidRDefault="007C022C" w:rsidP="007C022C">
      <w:pPr>
        <w:jc w:val="both"/>
        <w:rPr>
          <w:rFonts w:ascii="Arial" w:hAnsi="Arial" w:cs="Arial"/>
          <w:b/>
          <w:bCs/>
          <w:sz w:val="24"/>
          <w:szCs w:val="24"/>
          <w:lang w:bidi="el-GR"/>
        </w:rPr>
      </w:pPr>
    </w:p>
    <w:p w14:paraId="402744C4" w14:textId="1092180E" w:rsidR="007C022C" w:rsidRPr="007C022C" w:rsidRDefault="007C022C" w:rsidP="007C022C">
      <w:pPr>
        <w:jc w:val="both"/>
        <w:rPr>
          <w:rFonts w:ascii="Arial" w:hAnsi="Arial" w:cs="Arial"/>
          <w:sz w:val="24"/>
          <w:szCs w:val="24"/>
          <w:lang w:val="en-GB"/>
        </w:rPr>
      </w:pPr>
      <w:r w:rsidRPr="007C022C">
        <w:rPr>
          <w:rFonts w:ascii="Arial" w:hAnsi="Arial" w:cs="Arial"/>
          <w:b/>
          <w:bCs/>
          <w:sz w:val="24"/>
          <w:szCs w:val="24"/>
          <w:u w:val="single"/>
          <w:lang w:val="en-GB"/>
        </w:rPr>
        <w:t>Background</w:t>
      </w:r>
      <w:r>
        <w:rPr>
          <w:rFonts w:ascii="Arial" w:hAnsi="Arial" w:cs="Arial"/>
          <w:sz w:val="24"/>
          <w:szCs w:val="24"/>
          <w:lang w:val="en-GB"/>
        </w:rPr>
        <w:t xml:space="preserve">: </w:t>
      </w:r>
      <w:r w:rsidRPr="007C022C">
        <w:rPr>
          <w:rFonts w:ascii="Arial" w:hAnsi="Arial" w:cs="Arial"/>
          <w:sz w:val="24"/>
          <w:szCs w:val="24"/>
          <w:lang w:val="en-GB"/>
        </w:rPr>
        <w:t>In the academic years of 2005-2006, the Food Science Undergraduate Curriculum Committee, led by Professor Art Hill, identified a need for a structured approach to assess the curriculum of their well-established Bachelor’s program. The committee's primary concerns were developing a continuous improvement model to ensure the program met the needs of both students and the food science community, as well as maintaining professional accreditation from relevant associations.</w:t>
      </w:r>
    </w:p>
    <w:p w14:paraId="3D85E2ED" w14:textId="7383664F" w:rsidR="007C022C" w:rsidRPr="007C022C" w:rsidRDefault="007C022C" w:rsidP="007C022C">
      <w:pPr>
        <w:jc w:val="both"/>
        <w:rPr>
          <w:rFonts w:ascii="Arial" w:hAnsi="Arial" w:cs="Arial"/>
          <w:sz w:val="24"/>
          <w:szCs w:val="24"/>
          <w:lang w:val="en-GB"/>
        </w:rPr>
      </w:pPr>
      <w:r w:rsidRPr="007C022C">
        <w:rPr>
          <w:rFonts w:ascii="Arial" w:hAnsi="Arial" w:cs="Arial"/>
          <w:sz w:val="24"/>
          <w:szCs w:val="24"/>
          <w:lang w:val="en-GB"/>
        </w:rPr>
        <w:t>To address these concerns, the committee collaborated with Teaching Support Services (Peter Wolf) and the Educational Research and Development Unit (Professor Fred Evers) to systematically conduct curriculum assessments. They employed Kirkpatrick’s Four Levels of Evaluation—focusing on learner satisfaction, knowledge acquisition, behavio</w:t>
      </w:r>
      <w:r>
        <w:rPr>
          <w:rFonts w:ascii="Arial" w:hAnsi="Arial" w:cs="Arial"/>
          <w:sz w:val="24"/>
          <w:szCs w:val="24"/>
          <w:lang w:val="en-GB"/>
        </w:rPr>
        <w:t>u</w:t>
      </w:r>
      <w:r w:rsidRPr="007C022C">
        <w:rPr>
          <w:rFonts w:ascii="Arial" w:hAnsi="Arial" w:cs="Arial"/>
          <w:sz w:val="24"/>
          <w:szCs w:val="24"/>
          <w:lang w:val="en-GB"/>
        </w:rPr>
        <w:t>r change, and results—alongside a Curriculum Development model to create strategies for data collection and analysis.</w:t>
      </w:r>
    </w:p>
    <w:p w14:paraId="7729C3E8" w14:textId="7E073217" w:rsidR="00AE4666" w:rsidRDefault="007C022C" w:rsidP="007C022C">
      <w:pPr>
        <w:jc w:val="both"/>
        <w:rPr>
          <w:rFonts w:ascii="Arial" w:hAnsi="Arial" w:cs="Arial"/>
          <w:sz w:val="24"/>
          <w:szCs w:val="24"/>
          <w:lang w:val="en-GB"/>
        </w:rPr>
      </w:pPr>
      <w:r w:rsidRPr="007C022C">
        <w:rPr>
          <w:rFonts w:ascii="Arial" w:hAnsi="Arial" w:cs="Arial"/>
          <w:sz w:val="24"/>
          <w:szCs w:val="24"/>
          <w:lang w:val="en-GB"/>
        </w:rPr>
        <w:t xml:space="preserve">A variety of assessment methods were implemented, including exit focus groups with graduating students, web surveys of recent graduates, focus groups with employers, and reviews of previous accreditation reports. The feedback collected during these assessments informed a comprehensive SWOT analysis, identifying the program's strengths, weaknesses, opportunities, and threats. This structured approach enabled the program to evolve continuously and adapt to changing needs, ensuring the </w:t>
      </w:r>
      <w:r w:rsidRPr="007C022C">
        <w:rPr>
          <w:rFonts w:ascii="Arial" w:hAnsi="Arial" w:cs="Arial"/>
          <w:sz w:val="24"/>
          <w:szCs w:val="24"/>
          <w:lang w:val="en-GB"/>
        </w:rPr>
        <w:lastRenderedPageBreak/>
        <w:t xml:space="preserve">education provided aligns with industry expectations and prepares students for </w:t>
      </w:r>
      <w:r w:rsidR="008E342A">
        <w:rPr>
          <w:rFonts w:ascii="Arial" w:hAnsi="Arial" w:cs="Arial"/>
          <w:noProof/>
          <w:sz w:val="24"/>
          <w:szCs w:val="24"/>
        </w:rPr>
        <mc:AlternateContent>
          <mc:Choice Requires="wps">
            <w:drawing>
              <wp:anchor distT="86995" distB="110490" distL="114300" distR="114300" simplePos="0" relativeHeight="251660288" behindDoc="0" locked="0" layoutInCell="0" allowOverlap="1" wp14:anchorId="44FFF048" wp14:editId="666774D6">
                <wp:simplePos x="0" y="0"/>
                <wp:positionH relativeFrom="margin">
                  <wp:posOffset>-371475</wp:posOffset>
                </wp:positionH>
                <wp:positionV relativeFrom="paragraph">
                  <wp:posOffset>1631314</wp:posOffset>
                </wp:positionV>
                <wp:extent cx="6472555" cy="7229475"/>
                <wp:effectExtent l="0" t="0" r="0" b="0"/>
                <wp:wrapTopAndBottom/>
                <wp:docPr id="2" name="Πλαίσιο κειμένου 2"/>
                <wp:cNvGraphicFramePr/>
                <a:graphic xmlns:a="http://schemas.openxmlformats.org/drawingml/2006/main">
                  <a:graphicData uri="http://schemas.microsoft.com/office/word/2010/wordprocessingShape">
                    <wps:wsp>
                      <wps:cNvSpPr/>
                      <wps:spPr>
                        <a:xfrm>
                          <a:off x="0" y="0"/>
                          <a:ext cx="6472555" cy="7229475"/>
                        </a:xfrm>
                        <a:prstGeom prst="rect">
                          <a:avLst/>
                        </a:prstGeom>
                        <a:noFill/>
                        <a:ln w="9525">
                          <a:noFill/>
                        </a:ln>
                      </wps:spPr>
                      <wps:style>
                        <a:lnRef idx="0">
                          <a:scrgbClr r="0" g="0" b="0"/>
                        </a:lnRef>
                        <a:fillRef idx="0">
                          <a:scrgbClr r="0" g="0" b="0"/>
                        </a:fillRef>
                        <a:effectRef idx="0">
                          <a:scrgbClr r="0" g="0" b="0"/>
                        </a:effectRef>
                        <a:fontRef idx="minor"/>
                      </wps:style>
                      <wps:txbx>
                        <w:txbxContent>
                          <w:p w14:paraId="5162C372" w14:textId="77777777" w:rsidR="007C022C" w:rsidRDefault="007C022C" w:rsidP="007C022C">
                            <w:pPr>
                              <w:pStyle w:val="FrameContents"/>
                              <w:pBdr>
                                <w:top w:val="single" w:sz="24" w:space="8" w:color="4472C4" w:themeColor="accent1"/>
                                <w:bottom w:val="single" w:sz="24" w:space="8" w:color="4472C4" w:themeColor="accent1"/>
                              </w:pBdr>
                              <w:spacing w:after="0"/>
                              <w:rPr>
                                <w:rFonts w:ascii="Arial" w:hAnsi="Arial" w:cs="Arial"/>
                                <w:b/>
                                <w:color w:val="000000"/>
                                <w:sz w:val="24"/>
                                <w:szCs w:val="24"/>
                                <w:lang w:bidi="el-GR"/>
                              </w:rPr>
                            </w:pPr>
                            <w:bookmarkStart w:id="0" w:name="__DdeLink__265_894894886"/>
                            <w:r>
                              <w:rPr>
                                <w:rFonts w:ascii="Arial" w:hAnsi="Arial" w:cs="Arial"/>
                                <w:b/>
                                <w:color w:val="000000"/>
                                <w:sz w:val="24"/>
                                <w:szCs w:val="24"/>
                                <w:u w:val="single"/>
                                <w:lang w:bidi="el-GR"/>
                              </w:rPr>
                              <w:t>Task for Participants</w:t>
                            </w:r>
                            <w:r>
                              <w:rPr>
                                <w:rFonts w:ascii="Arial" w:hAnsi="Arial" w:cs="Arial"/>
                                <w:b/>
                                <w:color w:val="000000"/>
                                <w:sz w:val="24"/>
                                <w:szCs w:val="24"/>
                                <w:lang w:bidi="el-GR"/>
                              </w:rPr>
                              <w:t>:</w:t>
                            </w:r>
                            <w:bookmarkEnd w:id="0"/>
                          </w:p>
                          <w:p w14:paraId="0BE3C2EE" w14:textId="77777777" w:rsidR="007C022C" w:rsidRDefault="007C022C" w:rsidP="007C022C">
                            <w:pPr>
                              <w:pStyle w:val="FrameContents"/>
                              <w:pBdr>
                                <w:top w:val="single" w:sz="24" w:space="8" w:color="4472C4" w:themeColor="accent1"/>
                                <w:bottom w:val="single" w:sz="24" w:space="8" w:color="4472C4" w:themeColor="accent1"/>
                              </w:pBdr>
                              <w:spacing w:after="0"/>
                              <w:rPr>
                                <w:rFonts w:ascii="Arial" w:hAnsi="Arial" w:cs="Arial"/>
                                <w:b/>
                                <w:color w:val="000000"/>
                                <w:sz w:val="24"/>
                                <w:szCs w:val="24"/>
                                <w:lang w:bidi="el-GR"/>
                              </w:rPr>
                            </w:pPr>
                          </w:p>
                          <w:p w14:paraId="77652896" w14:textId="482F708A" w:rsidR="008E342A" w:rsidRPr="008E342A" w:rsidRDefault="008E342A" w:rsidP="008E342A">
                            <w:pPr>
                              <w:pStyle w:val="FrameContents"/>
                              <w:numPr>
                                <w:ilvl w:val="0"/>
                                <w:numId w:val="4"/>
                              </w:numPr>
                              <w:pBdr>
                                <w:top w:val="single" w:sz="24" w:space="8" w:color="4472C4" w:themeColor="accent1"/>
                                <w:bottom w:val="single" w:sz="24" w:space="8" w:color="4472C4" w:themeColor="accent1"/>
                              </w:pBdr>
                              <w:spacing w:after="0"/>
                              <w:rPr>
                                <w:i/>
                                <w:iCs/>
                                <w:color w:val="4472C4" w:themeColor="accent1"/>
                                <w:sz w:val="24"/>
                              </w:rPr>
                            </w:pPr>
                            <w:r>
                              <w:rPr>
                                <w:rFonts w:ascii="Arial" w:hAnsi="Arial" w:cs="Arial"/>
                                <w:b/>
                                <w:sz w:val="24"/>
                                <w:szCs w:val="24"/>
                                <w:lang w:bidi="el-GR"/>
                              </w:rPr>
                              <w:t xml:space="preserve">Go to the page 12 of the “Handbook for Curriculum Assessment”. </w:t>
                            </w:r>
                          </w:p>
                          <w:p w14:paraId="54F0C820" w14:textId="4463AB89" w:rsidR="007C022C" w:rsidRPr="008E342A" w:rsidRDefault="008E342A" w:rsidP="008E342A">
                            <w:pPr>
                              <w:pStyle w:val="FrameContents"/>
                              <w:numPr>
                                <w:ilvl w:val="0"/>
                                <w:numId w:val="4"/>
                              </w:numPr>
                              <w:pBdr>
                                <w:top w:val="single" w:sz="24" w:space="8" w:color="4472C4" w:themeColor="accent1"/>
                                <w:bottom w:val="single" w:sz="24" w:space="8" w:color="4472C4" w:themeColor="accent1"/>
                              </w:pBdr>
                              <w:spacing w:after="0"/>
                              <w:rPr>
                                <w:b/>
                                <w:bCs/>
                                <w:iCs/>
                                <w:color w:val="4472C4" w:themeColor="accent1"/>
                                <w:sz w:val="24"/>
                              </w:rPr>
                            </w:pPr>
                            <w:r>
                              <w:rPr>
                                <w:rFonts w:ascii="Arial" w:hAnsi="Arial" w:cs="Arial"/>
                                <w:b/>
                                <w:sz w:val="24"/>
                                <w:szCs w:val="24"/>
                                <w:lang w:bidi="el-GR"/>
                              </w:rPr>
                              <w:t xml:space="preserve">Read carefully the Case Study presented, which explores the </w:t>
                            </w:r>
                            <w:r w:rsidRPr="008E342A">
                              <w:rPr>
                                <w:rFonts w:ascii="Arial" w:hAnsi="Arial" w:cs="Arial"/>
                                <w:b/>
                                <w:bCs/>
                                <w:iCs/>
                                <w:sz w:val="24"/>
                                <w:szCs w:val="24"/>
                              </w:rPr>
                              <w:t>approach taken by Professor Art Hill and the Food Science Undergraduate Curriculum Committee to assess and continuously improve the curriculum of the Bachelor’s degree in Food Science.</w:t>
                            </w:r>
                          </w:p>
                          <w:p w14:paraId="1E683073" w14:textId="29FD9FAB" w:rsidR="008E342A" w:rsidRPr="008E342A" w:rsidRDefault="008E342A" w:rsidP="008E342A">
                            <w:pPr>
                              <w:pStyle w:val="FrameContents"/>
                              <w:numPr>
                                <w:ilvl w:val="0"/>
                                <w:numId w:val="4"/>
                              </w:numPr>
                              <w:pBdr>
                                <w:top w:val="single" w:sz="24" w:space="8" w:color="4472C4" w:themeColor="accent1"/>
                                <w:bottom w:val="single" w:sz="24" w:space="8" w:color="4472C4" w:themeColor="accent1"/>
                              </w:pBdr>
                              <w:spacing w:after="0"/>
                              <w:rPr>
                                <w:b/>
                                <w:bCs/>
                                <w:iCs/>
                                <w:color w:val="4472C4" w:themeColor="accent1"/>
                                <w:sz w:val="24"/>
                              </w:rPr>
                            </w:pPr>
                            <w:r>
                              <w:rPr>
                                <w:rFonts w:ascii="Arial" w:hAnsi="Arial" w:cs="Arial"/>
                                <w:b/>
                                <w:bCs/>
                                <w:iCs/>
                                <w:sz w:val="24"/>
                                <w:szCs w:val="24"/>
                              </w:rPr>
                              <w:t>Pay particular attention on the charts provided, involving assessment data and process.</w:t>
                            </w:r>
                          </w:p>
                          <w:p w14:paraId="021FE3A7" w14:textId="5734588D" w:rsidR="008E342A" w:rsidRPr="008E342A" w:rsidRDefault="008E342A" w:rsidP="008E342A">
                            <w:pPr>
                              <w:pStyle w:val="FrameContents"/>
                              <w:numPr>
                                <w:ilvl w:val="0"/>
                                <w:numId w:val="4"/>
                              </w:numPr>
                              <w:pBdr>
                                <w:top w:val="single" w:sz="24" w:space="8" w:color="4472C4" w:themeColor="accent1"/>
                                <w:bottom w:val="single" w:sz="24" w:space="8" w:color="4472C4" w:themeColor="accent1"/>
                              </w:pBdr>
                              <w:spacing w:after="0"/>
                              <w:rPr>
                                <w:b/>
                                <w:bCs/>
                                <w:iCs/>
                                <w:color w:val="4472C4" w:themeColor="accent1"/>
                                <w:sz w:val="24"/>
                              </w:rPr>
                            </w:pPr>
                            <w:r>
                              <w:rPr>
                                <w:rFonts w:ascii="Arial" w:hAnsi="Arial" w:cs="Arial"/>
                                <w:b/>
                                <w:bCs/>
                                <w:iCs/>
                                <w:sz w:val="24"/>
                                <w:szCs w:val="24"/>
                              </w:rPr>
                              <w:t>Then answer the following questions:</w:t>
                            </w:r>
                          </w:p>
                          <w:p w14:paraId="7380CDDA" w14:textId="67A8F84B" w:rsidR="008E342A" w:rsidRPr="008E342A" w:rsidRDefault="008E342A" w:rsidP="008E342A">
                            <w:pPr>
                              <w:pStyle w:val="FrameContents"/>
                              <w:pBdr>
                                <w:top w:val="single" w:sz="24" w:space="8" w:color="4472C4" w:themeColor="accent1"/>
                                <w:bottom w:val="single" w:sz="24" w:space="8" w:color="4472C4" w:themeColor="accent1"/>
                              </w:pBdr>
                              <w:spacing w:after="0"/>
                              <w:jc w:val="both"/>
                              <w:rPr>
                                <w:rFonts w:ascii="Arial" w:hAnsi="Arial" w:cs="Arial"/>
                                <w:iCs/>
                                <w:sz w:val="24"/>
                                <w:szCs w:val="24"/>
                              </w:rPr>
                            </w:pPr>
                            <w:r w:rsidRPr="008E342A">
                              <w:rPr>
                                <w:rFonts w:ascii="Arial" w:hAnsi="Arial" w:cs="Arial"/>
                                <w:b/>
                                <w:bCs/>
                                <w:iCs/>
                                <w:sz w:val="24"/>
                                <w:szCs w:val="24"/>
                              </w:rPr>
                              <w:t xml:space="preserve">QUESTION 1: </w:t>
                            </w:r>
                            <w:r w:rsidRPr="008E342A">
                              <w:rPr>
                                <w:rFonts w:ascii="Arial" w:hAnsi="Arial" w:cs="Arial"/>
                                <w:iCs/>
                                <w:sz w:val="24"/>
                              </w:rPr>
                              <w:t>The Food Science program at the University of Guelph used Kirkpatrick’s Four Levels of Evaluation and the Curriculum Development model to assess and improve the curriculum. Do you think this combination of methods was effective in addressing the needs of both students and the food science community? If you were part of this curriculum committee, what alternative methods or additional assessment tools would you consider incorporating to further enhance the continuous improvement model?</w:t>
                            </w:r>
                          </w:p>
                          <w:p w14:paraId="4D9F1115" w14:textId="77777777" w:rsidR="008E342A" w:rsidRPr="008E342A" w:rsidRDefault="008E342A" w:rsidP="008E342A">
                            <w:pPr>
                              <w:pStyle w:val="FrameContents"/>
                              <w:pBdr>
                                <w:top w:val="single" w:sz="24" w:space="8" w:color="4472C4" w:themeColor="accent1"/>
                                <w:bottom w:val="single" w:sz="24" w:space="8" w:color="4472C4" w:themeColor="accent1"/>
                              </w:pBdr>
                              <w:spacing w:after="0"/>
                              <w:jc w:val="both"/>
                              <w:rPr>
                                <w:rFonts w:ascii="Arial" w:hAnsi="Arial" w:cs="Arial"/>
                                <w:iCs/>
                                <w:sz w:val="24"/>
                              </w:rPr>
                            </w:pPr>
                          </w:p>
                          <w:p w14:paraId="07427019" w14:textId="33203853" w:rsidR="008E342A" w:rsidRPr="008E342A" w:rsidRDefault="008E342A" w:rsidP="008E342A">
                            <w:pPr>
                              <w:pStyle w:val="FrameContents"/>
                              <w:pBdr>
                                <w:top w:val="single" w:sz="24" w:space="8" w:color="4472C4" w:themeColor="accent1"/>
                                <w:bottom w:val="single" w:sz="24" w:space="8" w:color="4472C4" w:themeColor="accent1"/>
                              </w:pBdr>
                              <w:spacing w:after="0"/>
                              <w:jc w:val="both"/>
                              <w:rPr>
                                <w:rFonts w:ascii="Arial" w:hAnsi="Arial" w:cs="Arial"/>
                                <w:iCs/>
                                <w:sz w:val="24"/>
                                <w:lang w:val="en-GB"/>
                              </w:rPr>
                            </w:pPr>
                            <w:r w:rsidRPr="008E342A">
                              <w:rPr>
                                <w:rFonts w:ascii="Arial" w:hAnsi="Arial" w:cs="Arial"/>
                                <w:b/>
                                <w:bCs/>
                                <w:iCs/>
                                <w:sz w:val="24"/>
                                <w:lang w:val="en-GB"/>
                              </w:rPr>
                              <w:t>QUESTION 2:</w:t>
                            </w:r>
                            <w:r w:rsidRPr="008E342A">
                              <w:rPr>
                                <w:rFonts w:ascii="Arial" w:hAnsi="Arial" w:cs="Arial"/>
                                <w:iCs/>
                                <w:sz w:val="24"/>
                                <w:lang w:val="en-GB"/>
                              </w:rPr>
                              <w:t xml:space="preserve"> </w:t>
                            </w:r>
                            <w:r w:rsidRPr="008E342A">
                              <w:rPr>
                                <w:rFonts w:ascii="Arial" w:hAnsi="Arial" w:cs="Arial"/>
                                <w:iCs/>
                                <w:sz w:val="24"/>
                                <w:lang w:val="en-GB"/>
                              </w:rPr>
                              <w:t>The action plan from the retreat highlighted areas such as research, communication skills, and a senior marketing course as potential additions to the curriculum. Do you agree with these recommendations? What specific changes would you propose to better align the curriculum with current industry needs or professional accreditation requirements? Are there other areas or skills that you believe are missing from the program’s focus?</w:t>
                            </w:r>
                          </w:p>
                          <w:p w14:paraId="020B5181"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365D28E8"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575C4904"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1E2AC9A3"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38C818CF"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31646967"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687A610B"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5806A384"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6F13EE6F"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55A0FA97"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3773BD1C"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77078A6A"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3930952D"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495E3E51"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1A524FCF"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57851AEF"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15D7C20A"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3841EA4B"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72A8E80E"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003899BC"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28292E98"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7FBB707E"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6AA690FB"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24906464"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52DAB086" w14:textId="2AAACA84"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19B3851B"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5DCB5C47"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5CEF2535"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2D6441E3"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132F5A65"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43B012FB"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09646290"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297BBB3A"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11105B39"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75D52374"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70474019"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6C1AA379"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3922F482" w14:textId="77777777" w:rsidR="008E342A" w:rsidRP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txbxContent>
                      </wps:txbx>
                      <wps:bodyPr wrap="square" anchor="t">
                        <a:noAutofit/>
                      </wps:bodyPr>
                    </wps:wsp>
                  </a:graphicData>
                </a:graphic>
                <wp14:sizeRelV relativeFrom="margin">
                  <wp14:pctHeight>0</wp14:pctHeight>
                </wp14:sizeRelV>
              </wp:anchor>
            </w:drawing>
          </mc:Choice>
          <mc:Fallback>
            <w:pict>
              <v:rect w14:anchorId="44FFF048" id="Πλαίσιο κειμένου 2" o:spid="_x0000_s1026" style="position:absolute;left:0;text-align:left;margin-left:-29.25pt;margin-top:128.45pt;width:509.65pt;height:569.25pt;z-index:251660288;visibility:visible;mso-wrap-style:square;mso-height-percent:0;mso-wrap-distance-left:9pt;mso-wrap-distance-top:6.85pt;mso-wrap-distance-right:9pt;mso-wrap-distance-bottom:8.7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" o:allowincell="f" filled="f" stroked="f">
                <v:textbox>
                  <w:txbxContent>
                    <w:p w14:paraId="5162C372" w14:textId="77777777" w:rsidR="007C022C" w:rsidRDefault="007C022C" w:rsidP="007C022C">
                      <w:pPr>
                        <w:pStyle w:val="FrameContents"/>
                        <w:pBdr>
                          <w:top w:val="single" w:sz="24" w:space="8" w:color="4472C4" w:themeColor="accent1"/>
                          <w:bottom w:val="single" w:sz="24" w:space="8" w:color="4472C4" w:themeColor="accent1"/>
                        </w:pBdr>
                        <w:spacing w:after="0"/>
                        <w:rPr>
                          <w:rFonts w:ascii="Arial" w:hAnsi="Arial" w:cs="Arial"/>
                          <w:b/>
                          <w:color w:val="000000"/>
                          <w:sz w:val="24"/>
                          <w:szCs w:val="24"/>
                          <w:lang w:bidi="el-GR"/>
                        </w:rPr>
                      </w:pPr>
                      <w:bookmarkStart w:id="1" w:name="__DdeLink__265_894894886"/>
                      <w:r>
                        <w:rPr>
                          <w:rFonts w:ascii="Arial" w:hAnsi="Arial" w:cs="Arial"/>
                          <w:b/>
                          <w:color w:val="000000"/>
                          <w:sz w:val="24"/>
                          <w:szCs w:val="24"/>
                          <w:u w:val="single"/>
                          <w:lang w:bidi="el-GR"/>
                        </w:rPr>
                        <w:t>Task for Participants</w:t>
                      </w:r>
                      <w:r>
                        <w:rPr>
                          <w:rFonts w:ascii="Arial" w:hAnsi="Arial" w:cs="Arial"/>
                          <w:b/>
                          <w:color w:val="000000"/>
                          <w:sz w:val="24"/>
                          <w:szCs w:val="24"/>
                          <w:lang w:bidi="el-GR"/>
                        </w:rPr>
                        <w:t>:</w:t>
                      </w:r>
                      <w:bookmarkEnd w:id="1"/>
                    </w:p>
                    <w:p w14:paraId="0BE3C2EE" w14:textId="77777777" w:rsidR="007C022C" w:rsidRDefault="007C022C" w:rsidP="007C022C">
                      <w:pPr>
                        <w:pStyle w:val="FrameContents"/>
                        <w:pBdr>
                          <w:top w:val="single" w:sz="24" w:space="8" w:color="4472C4" w:themeColor="accent1"/>
                          <w:bottom w:val="single" w:sz="24" w:space="8" w:color="4472C4" w:themeColor="accent1"/>
                        </w:pBdr>
                        <w:spacing w:after="0"/>
                        <w:rPr>
                          <w:rFonts w:ascii="Arial" w:hAnsi="Arial" w:cs="Arial"/>
                          <w:b/>
                          <w:color w:val="000000"/>
                          <w:sz w:val="24"/>
                          <w:szCs w:val="24"/>
                          <w:lang w:bidi="el-GR"/>
                        </w:rPr>
                      </w:pPr>
                    </w:p>
                    <w:p w14:paraId="77652896" w14:textId="482F708A" w:rsidR="008E342A" w:rsidRPr="008E342A" w:rsidRDefault="008E342A" w:rsidP="008E342A">
                      <w:pPr>
                        <w:pStyle w:val="FrameContents"/>
                        <w:numPr>
                          <w:ilvl w:val="0"/>
                          <w:numId w:val="4"/>
                        </w:numPr>
                        <w:pBdr>
                          <w:top w:val="single" w:sz="24" w:space="8" w:color="4472C4" w:themeColor="accent1"/>
                          <w:bottom w:val="single" w:sz="24" w:space="8" w:color="4472C4" w:themeColor="accent1"/>
                        </w:pBdr>
                        <w:spacing w:after="0"/>
                        <w:rPr>
                          <w:i/>
                          <w:iCs/>
                          <w:color w:val="4472C4" w:themeColor="accent1"/>
                          <w:sz w:val="24"/>
                        </w:rPr>
                      </w:pPr>
                      <w:r>
                        <w:rPr>
                          <w:rFonts w:ascii="Arial" w:hAnsi="Arial" w:cs="Arial"/>
                          <w:b/>
                          <w:sz w:val="24"/>
                          <w:szCs w:val="24"/>
                          <w:lang w:bidi="el-GR"/>
                        </w:rPr>
                        <w:t xml:space="preserve">Go to the page 12 of the “Handbook for Curriculum Assessment”. </w:t>
                      </w:r>
                    </w:p>
                    <w:p w14:paraId="54F0C820" w14:textId="4463AB89" w:rsidR="007C022C" w:rsidRPr="008E342A" w:rsidRDefault="008E342A" w:rsidP="008E342A">
                      <w:pPr>
                        <w:pStyle w:val="FrameContents"/>
                        <w:numPr>
                          <w:ilvl w:val="0"/>
                          <w:numId w:val="4"/>
                        </w:numPr>
                        <w:pBdr>
                          <w:top w:val="single" w:sz="24" w:space="8" w:color="4472C4" w:themeColor="accent1"/>
                          <w:bottom w:val="single" w:sz="24" w:space="8" w:color="4472C4" w:themeColor="accent1"/>
                        </w:pBdr>
                        <w:spacing w:after="0"/>
                        <w:rPr>
                          <w:b/>
                          <w:bCs/>
                          <w:iCs/>
                          <w:color w:val="4472C4" w:themeColor="accent1"/>
                          <w:sz w:val="24"/>
                        </w:rPr>
                      </w:pPr>
                      <w:r>
                        <w:rPr>
                          <w:rFonts w:ascii="Arial" w:hAnsi="Arial" w:cs="Arial"/>
                          <w:b/>
                          <w:sz w:val="24"/>
                          <w:szCs w:val="24"/>
                          <w:lang w:bidi="el-GR"/>
                        </w:rPr>
                        <w:t xml:space="preserve">Read carefully the Case Study presented, which explores the </w:t>
                      </w:r>
                      <w:r w:rsidRPr="008E342A">
                        <w:rPr>
                          <w:rFonts w:ascii="Arial" w:hAnsi="Arial" w:cs="Arial"/>
                          <w:b/>
                          <w:bCs/>
                          <w:iCs/>
                          <w:sz w:val="24"/>
                          <w:szCs w:val="24"/>
                        </w:rPr>
                        <w:t>approach taken by Professor Art Hill and the Food Science Undergraduate Curriculum Committee to assess and continuously improve the curriculum of the Bachelor’s degree in Food Science.</w:t>
                      </w:r>
                    </w:p>
                    <w:p w14:paraId="1E683073" w14:textId="29FD9FAB" w:rsidR="008E342A" w:rsidRPr="008E342A" w:rsidRDefault="008E342A" w:rsidP="008E342A">
                      <w:pPr>
                        <w:pStyle w:val="FrameContents"/>
                        <w:numPr>
                          <w:ilvl w:val="0"/>
                          <w:numId w:val="4"/>
                        </w:numPr>
                        <w:pBdr>
                          <w:top w:val="single" w:sz="24" w:space="8" w:color="4472C4" w:themeColor="accent1"/>
                          <w:bottom w:val="single" w:sz="24" w:space="8" w:color="4472C4" w:themeColor="accent1"/>
                        </w:pBdr>
                        <w:spacing w:after="0"/>
                        <w:rPr>
                          <w:b/>
                          <w:bCs/>
                          <w:iCs/>
                          <w:color w:val="4472C4" w:themeColor="accent1"/>
                          <w:sz w:val="24"/>
                        </w:rPr>
                      </w:pPr>
                      <w:r>
                        <w:rPr>
                          <w:rFonts w:ascii="Arial" w:hAnsi="Arial" w:cs="Arial"/>
                          <w:b/>
                          <w:bCs/>
                          <w:iCs/>
                          <w:sz w:val="24"/>
                          <w:szCs w:val="24"/>
                        </w:rPr>
                        <w:t>Pay particular attention on the charts provided, involving assessment data and process.</w:t>
                      </w:r>
                    </w:p>
                    <w:p w14:paraId="021FE3A7" w14:textId="5734588D" w:rsidR="008E342A" w:rsidRPr="008E342A" w:rsidRDefault="008E342A" w:rsidP="008E342A">
                      <w:pPr>
                        <w:pStyle w:val="FrameContents"/>
                        <w:numPr>
                          <w:ilvl w:val="0"/>
                          <w:numId w:val="4"/>
                        </w:numPr>
                        <w:pBdr>
                          <w:top w:val="single" w:sz="24" w:space="8" w:color="4472C4" w:themeColor="accent1"/>
                          <w:bottom w:val="single" w:sz="24" w:space="8" w:color="4472C4" w:themeColor="accent1"/>
                        </w:pBdr>
                        <w:spacing w:after="0"/>
                        <w:rPr>
                          <w:b/>
                          <w:bCs/>
                          <w:iCs/>
                          <w:color w:val="4472C4" w:themeColor="accent1"/>
                          <w:sz w:val="24"/>
                        </w:rPr>
                      </w:pPr>
                      <w:r>
                        <w:rPr>
                          <w:rFonts w:ascii="Arial" w:hAnsi="Arial" w:cs="Arial"/>
                          <w:b/>
                          <w:bCs/>
                          <w:iCs/>
                          <w:sz w:val="24"/>
                          <w:szCs w:val="24"/>
                        </w:rPr>
                        <w:t>Then answer the following questions:</w:t>
                      </w:r>
                    </w:p>
                    <w:p w14:paraId="7380CDDA" w14:textId="67A8F84B" w:rsidR="008E342A" w:rsidRPr="008E342A" w:rsidRDefault="008E342A" w:rsidP="008E342A">
                      <w:pPr>
                        <w:pStyle w:val="FrameContents"/>
                        <w:pBdr>
                          <w:top w:val="single" w:sz="24" w:space="8" w:color="4472C4" w:themeColor="accent1"/>
                          <w:bottom w:val="single" w:sz="24" w:space="8" w:color="4472C4" w:themeColor="accent1"/>
                        </w:pBdr>
                        <w:spacing w:after="0"/>
                        <w:jc w:val="both"/>
                        <w:rPr>
                          <w:rFonts w:ascii="Arial" w:hAnsi="Arial" w:cs="Arial"/>
                          <w:iCs/>
                          <w:sz w:val="24"/>
                          <w:szCs w:val="24"/>
                        </w:rPr>
                      </w:pPr>
                      <w:r w:rsidRPr="008E342A">
                        <w:rPr>
                          <w:rFonts w:ascii="Arial" w:hAnsi="Arial" w:cs="Arial"/>
                          <w:b/>
                          <w:bCs/>
                          <w:iCs/>
                          <w:sz w:val="24"/>
                          <w:szCs w:val="24"/>
                        </w:rPr>
                        <w:t xml:space="preserve">QUESTION 1: </w:t>
                      </w:r>
                      <w:r w:rsidRPr="008E342A">
                        <w:rPr>
                          <w:rFonts w:ascii="Arial" w:hAnsi="Arial" w:cs="Arial"/>
                          <w:iCs/>
                          <w:sz w:val="24"/>
                        </w:rPr>
                        <w:t>The Food Science program at the University of Guelph used Kirkpatrick’s Four Levels of Evaluation and the Curriculum Development model to assess and improve the curriculum. Do you think this combination of methods was effective in addressing the needs of both students and the food science community? If you were part of this curriculum committee, what alternative methods or additional assessment tools would you consider incorporating to further enhance the continuous improvement model?</w:t>
                      </w:r>
                    </w:p>
                    <w:p w14:paraId="4D9F1115" w14:textId="77777777" w:rsidR="008E342A" w:rsidRPr="008E342A" w:rsidRDefault="008E342A" w:rsidP="008E342A">
                      <w:pPr>
                        <w:pStyle w:val="FrameContents"/>
                        <w:pBdr>
                          <w:top w:val="single" w:sz="24" w:space="8" w:color="4472C4" w:themeColor="accent1"/>
                          <w:bottom w:val="single" w:sz="24" w:space="8" w:color="4472C4" w:themeColor="accent1"/>
                        </w:pBdr>
                        <w:spacing w:after="0"/>
                        <w:jc w:val="both"/>
                        <w:rPr>
                          <w:rFonts w:ascii="Arial" w:hAnsi="Arial" w:cs="Arial"/>
                          <w:iCs/>
                          <w:sz w:val="24"/>
                        </w:rPr>
                      </w:pPr>
                    </w:p>
                    <w:p w14:paraId="07427019" w14:textId="33203853" w:rsidR="008E342A" w:rsidRPr="008E342A" w:rsidRDefault="008E342A" w:rsidP="008E342A">
                      <w:pPr>
                        <w:pStyle w:val="FrameContents"/>
                        <w:pBdr>
                          <w:top w:val="single" w:sz="24" w:space="8" w:color="4472C4" w:themeColor="accent1"/>
                          <w:bottom w:val="single" w:sz="24" w:space="8" w:color="4472C4" w:themeColor="accent1"/>
                        </w:pBdr>
                        <w:spacing w:after="0"/>
                        <w:jc w:val="both"/>
                        <w:rPr>
                          <w:rFonts w:ascii="Arial" w:hAnsi="Arial" w:cs="Arial"/>
                          <w:iCs/>
                          <w:sz w:val="24"/>
                          <w:lang w:val="en-GB"/>
                        </w:rPr>
                      </w:pPr>
                      <w:r w:rsidRPr="008E342A">
                        <w:rPr>
                          <w:rFonts w:ascii="Arial" w:hAnsi="Arial" w:cs="Arial"/>
                          <w:b/>
                          <w:bCs/>
                          <w:iCs/>
                          <w:sz w:val="24"/>
                          <w:lang w:val="en-GB"/>
                        </w:rPr>
                        <w:t>QUESTION 2:</w:t>
                      </w:r>
                      <w:r w:rsidRPr="008E342A">
                        <w:rPr>
                          <w:rFonts w:ascii="Arial" w:hAnsi="Arial" w:cs="Arial"/>
                          <w:iCs/>
                          <w:sz w:val="24"/>
                          <w:lang w:val="en-GB"/>
                        </w:rPr>
                        <w:t xml:space="preserve"> </w:t>
                      </w:r>
                      <w:r w:rsidRPr="008E342A">
                        <w:rPr>
                          <w:rFonts w:ascii="Arial" w:hAnsi="Arial" w:cs="Arial"/>
                          <w:iCs/>
                          <w:sz w:val="24"/>
                          <w:lang w:val="en-GB"/>
                        </w:rPr>
                        <w:t>The action plan from the retreat highlighted areas such as research, communication skills, and a senior marketing course as potential additions to the curriculum. Do you agree with these recommendations? What specific changes would you propose to better align the curriculum with current industry needs or professional accreditation requirements? Are there other areas or skills that you believe are missing from the program’s focus?</w:t>
                      </w:r>
                    </w:p>
                    <w:p w14:paraId="020B5181"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365D28E8"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575C4904"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1E2AC9A3"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38C818CF"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31646967"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687A610B"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5806A384"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6F13EE6F"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55A0FA97" w14:textId="77777777" w:rsidR="008E342A" w:rsidRDefault="008E342A" w:rsidP="008E342A">
                      <w:pPr>
                        <w:pStyle w:val="FrameContents"/>
                        <w:pBdr>
                          <w:top w:val="single" w:sz="24" w:space="8" w:color="4472C4" w:themeColor="accent1"/>
                          <w:bottom w:val="single" w:sz="24" w:space="8" w:color="4472C4" w:themeColor="accent1"/>
                        </w:pBdr>
                        <w:spacing w:after="0"/>
                        <w:jc w:val="both"/>
                        <w:rPr>
                          <w:b/>
                          <w:bCs/>
                          <w:iCs/>
                          <w:color w:val="4472C4" w:themeColor="accent1"/>
                          <w:sz w:val="24"/>
                          <w:lang w:val="en-GB"/>
                        </w:rPr>
                      </w:pPr>
                    </w:p>
                    <w:p w14:paraId="3773BD1C"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77078A6A"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3930952D"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495E3E51"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1A524FCF"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57851AEF"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15D7C20A"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3841EA4B"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72A8E80E"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003899BC"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28292E98"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7FBB707E"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6AA690FB"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24906464"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52DAB086" w14:textId="2AAACA84"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19B3851B"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5DCB5C47"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5CEF2535"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2D6441E3"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132F5A65"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43B012FB"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09646290"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297BBB3A"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11105B39"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75D52374"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70474019"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6C1AA379" w14:textId="77777777" w:rsid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p w14:paraId="3922F482" w14:textId="77777777" w:rsidR="008E342A" w:rsidRPr="008E342A" w:rsidRDefault="008E342A" w:rsidP="008E342A">
                      <w:pPr>
                        <w:pStyle w:val="FrameContents"/>
                        <w:pBdr>
                          <w:top w:val="single" w:sz="24" w:space="8" w:color="4472C4" w:themeColor="accent1"/>
                          <w:bottom w:val="single" w:sz="24" w:space="8" w:color="4472C4" w:themeColor="accent1"/>
                        </w:pBdr>
                        <w:spacing w:after="0"/>
                        <w:rPr>
                          <w:b/>
                          <w:bCs/>
                          <w:iCs/>
                          <w:color w:val="4472C4" w:themeColor="accent1"/>
                          <w:sz w:val="24"/>
                          <w:lang w:val="en-GB"/>
                        </w:rPr>
                      </w:pPr>
                    </w:p>
                  </w:txbxContent>
                </v:textbox>
                <w10:wrap type="topAndBottom" anchorx="margin"/>
              </v:rect>
            </w:pict>
          </mc:Fallback>
        </mc:AlternateContent>
      </w:r>
      <w:r w:rsidRPr="007C022C">
        <w:rPr>
          <w:rFonts w:ascii="Arial" w:hAnsi="Arial" w:cs="Arial"/>
          <w:sz w:val="24"/>
          <w:szCs w:val="24"/>
          <w:lang w:val="en-GB"/>
        </w:rPr>
        <w:t>successful careers in food science.</w:t>
      </w:r>
    </w:p>
    <w:sectPr w:rsidR="00AE4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5AE8"/>
    <w:multiLevelType w:val="hybridMultilevel"/>
    <w:tmpl w:val="18F4AC14"/>
    <w:lvl w:ilvl="0" w:tplc="5AFE316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92462"/>
    <w:multiLevelType w:val="hybridMultilevel"/>
    <w:tmpl w:val="94E808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6226C"/>
    <w:multiLevelType w:val="multilevel"/>
    <w:tmpl w:val="6B1A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61541F"/>
    <w:multiLevelType w:val="hybridMultilevel"/>
    <w:tmpl w:val="0CC67EE0"/>
    <w:lvl w:ilvl="0" w:tplc="06A69066">
      <w:start w:val="1"/>
      <w:numFmt w:val="bullet"/>
      <w:lvlText w:val="-"/>
      <w:lvlJc w:val="left"/>
      <w:pPr>
        <w:ind w:left="720" w:hanging="360"/>
      </w:pPr>
      <w:rPr>
        <w:rFonts w:ascii="Arial" w:eastAsiaTheme="minorEastAsia" w:hAnsi="Arial" w:cs="Aria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B08B1"/>
    <w:multiLevelType w:val="hybridMultilevel"/>
    <w:tmpl w:val="7376D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793857">
    <w:abstractNumId w:val="0"/>
  </w:num>
  <w:num w:numId="2" w16cid:durableId="682778961">
    <w:abstractNumId w:val="4"/>
  </w:num>
  <w:num w:numId="3" w16cid:durableId="1923054982">
    <w:abstractNumId w:val="1"/>
  </w:num>
  <w:num w:numId="4" w16cid:durableId="571816292">
    <w:abstractNumId w:val="3"/>
  </w:num>
  <w:num w:numId="5" w16cid:durableId="2096708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2C"/>
    <w:rsid w:val="00714EC4"/>
    <w:rsid w:val="007C022C"/>
    <w:rsid w:val="008E342A"/>
    <w:rsid w:val="00AE4666"/>
    <w:rsid w:val="00CA084D"/>
    <w:rsid w:val="00D1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16F0"/>
  <w15:chartTrackingRefBased/>
  <w15:docId w15:val="{431B134F-6917-496B-8BAA-BD9C18B9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2C"/>
    <w:pPr>
      <w:suppressAutoHyphens/>
      <w:spacing w:after="200" w:line="276" w:lineRule="auto"/>
    </w:pPr>
    <w:rPr>
      <w:rFonts w:ascii="Calibri" w:eastAsiaTheme="minorEastAsia" w:hAnsi="Calibri"/>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7C0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843">
      <w:bodyDiv w:val="1"/>
      <w:marLeft w:val="0"/>
      <w:marRight w:val="0"/>
      <w:marTop w:val="0"/>
      <w:marBottom w:val="0"/>
      <w:divBdr>
        <w:top w:val="none" w:sz="0" w:space="0" w:color="auto"/>
        <w:left w:val="none" w:sz="0" w:space="0" w:color="auto"/>
        <w:bottom w:val="none" w:sz="0" w:space="0" w:color="auto"/>
        <w:right w:val="none" w:sz="0" w:space="0" w:color="auto"/>
      </w:divBdr>
    </w:div>
    <w:div w:id="546374516">
      <w:bodyDiv w:val="1"/>
      <w:marLeft w:val="0"/>
      <w:marRight w:val="0"/>
      <w:marTop w:val="0"/>
      <w:marBottom w:val="0"/>
      <w:divBdr>
        <w:top w:val="none" w:sz="0" w:space="0" w:color="auto"/>
        <w:left w:val="none" w:sz="0" w:space="0" w:color="auto"/>
        <w:bottom w:val="none" w:sz="0" w:space="0" w:color="auto"/>
        <w:right w:val="none" w:sz="0" w:space="0" w:color="auto"/>
      </w:divBdr>
    </w:div>
    <w:div w:id="604339080">
      <w:bodyDiv w:val="1"/>
      <w:marLeft w:val="0"/>
      <w:marRight w:val="0"/>
      <w:marTop w:val="0"/>
      <w:marBottom w:val="0"/>
      <w:divBdr>
        <w:top w:val="none" w:sz="0" w:space="0" w:color="auto"/>
        <w:left w:val="none" w:sz="0" w:space="0" w:color="auto"/>
        <w:bottom w:val="none" w:sz="0" w:space="0" w:color="auto"/>
        <w:right w:val="none" w:sz="0" w:space="0" w:color="auto"/>
      </w:divBdr>
    </w:div>
    <w:div w:id="1019353396">
      <w:bodyDiv w:val="1"/>
      <w:marLeft w:val="0"/>
      <w:marRight w:val="0"/>
      <w:marTop w:val="0"/>
      <w:marBottom w:val="0"/>
      <w:divBdr>
        <w:top w:val="none" w:sz="0" w:space="0" w:color="auto"/>
        <w:left w:val="none" w:sz="0" w:space="0" w:color="auto"/>
        <w:bottom w:val="none" w:sz="0" w:space="0" w:color="auto"/>
        <w:right w:val="none" w:sz="0" w:space="0" w:color="auto"/>
      </w:divBdr>
    </w:div>
    <w:div w:id="1122573305">
      <w:bodyDiv w:val="1"/>
      <w:marLeft w:val="0"/>
      <w:marRight w:val="0"/>
      <w:marTop w:val="0"/>
      <w:marBottom w:val="0"/>
      <w:divBdr>
        <w:top w:val="none" w:sz="0" w:space="0" w:color="auto"/>
        <w:left w:val="none" w:sz="0" w:space="0" w:color="auto"/>
        <w:bottom w:val="none" w:sz="0" w:space="0" w:color="auto"/>
        <w:right w:val="none" w:sz="0" w:space="0" w:color="auto"/>
      </w:divBdr>
    </w:div>
    <w:div w:id="1142773185">
      <w:bodyDiv w:val="1"/>
      <w:marLeft w:val="0"/>
      <w:marRight w:val="0"/>
      <w:marTop w:val="0"/>
      <w:marBottom w:val="0"/>
      <w:divBdr>
        <w:top w:val="none" w:sz="0" w:space="0" w:color="auto"/>
        <w:left w:val="none" w:sz="0" w:space="0" w:color="auto"/>
        <w:bottom w:val="none" w:sz="0" w:space="0" w:color="auto"/>
        <w:right w:val="none" w:sz="0" w:space="0" w:color="auto"/>
      </w:divBdr>
      <w:divsChild>
        <w:div w:id="1617173631">
          <w:marLeft w:val="0"/>
          <w:marRight w:val="0"/>
          <w:marTop w:val="0"/>
          <w:marBottom w:val="0"/>
          <w:divBdr>
            <w:top w:val="none" w:sz="0" w:space="0" w:color="auto"/>
            <w:left w:val="none" w:sz="0" w:space="0" w:color="auto"/>
            <w:bottom w:val="none" w:sz="0" w:space="0" w:color="auto"/>
            <w:right w:val="none" w:sz="0" w:space="0" w:color="auto"/>
          </w:divBdr>
          <w:divsChild>
            <w:div w:id="1225140663">
              <w:marLeft w:val="0"/>
              <w:marRight w:val="0"/>
              <w:marTop w:val="0"/>
              <w:marBottom w:val="0"/>
              <w:divBdr>
                <w:top w:val="none" w:sz="0" w:space="0" w:color="auto"/>
                <w:left w:val="none" w:sz="0" w:space="0" w:color="auto"/>
                <w:bottom w:val="none" w:sz="0" w:space="0" w:color="auto"/>
                <w:right w:val="none" w:sz="0" w:space="0" w:color="auto"/>
              </w:divBdr>
              <w:divsChild>
                <w:div w:id="366297461">
                  <w:marLeft w:val="0"/>
                  <w:marRight w:val="0"/>
                  <w:marTop w:val="0"/>
                  <w:marBottom w:val="0"/>
                  <w:divBdr>
                    <w:top w:val="none" w:sz="0" w:space="0" w:color="auto"/>
                    <w:left w:val="none" w:sz="0" w:space="0" w:color="auto"/>
                    <w:bottom w:val="none" w:sz="0" w:space="0" w:color="auto"/>
                    <w:right w:val="none" w:sz="0" w:space="0" w:color="auto"/>
                  </w:divBdr>
                  <w:divsChild>
                    <w:div w:id="2143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49360">
      <w:bodyDiv w:val="1"/>
      <w:marLeft w:val="0"/>
      <w:marRight w:val="0"/>
      <w:marTop w:val="0"/>
      <w:marBottom w:val="0"/>
      <w:divBdr>
        <w:top w:val="none" w:sz="0" w:space="0" w:color="auto"/>
        <w:left w:val="none" w:sz="0" w:space="0" w:color="auto"/>
        <w:bottom w:val="none" w:sz="0" w:space="0" w:color="auto"/>
        <w:right w:val="none" w:sz="0" w:space="0" w:color="auto"/>
      </w:divBdr>
      <w:divsChild>
        <w:div w:id="1907956720">
          <w:marLeft w:val="0"/>
          <w:marRight w:val="0"/>
          <w:marTop w:val="0"/>
          <w:marBottom w:val="0"/>
          <w:divBdr>
            <w:top w:val="none" w:sz="0" w:space="0" w:color="auto"/>
            <w:left w:val="none" w:sz="0" w:space="0" w:color="auto"/>
            <w:bottom w:val="none" w:sz="0" w:space="0" w:color="auto"/>
            <w:right w:val="none" w:sz="0" w:space="0" w:color="auto"/>
          </w:divBdr>
          <w:divsChild>
            <w:div w:id="1378704240">
              <w:marLeft w:val="0"/>
              <w:marRight w:val="0"/>
              <w:marTop w:val="0"/>
              <w:marBottom w:val="0"/>
              <w:divBdr>
                <w:top w:val="none" w:sz="0" w:space="0" w:color="auto"/>
                <w:left w:val="none" w:sz="0" w:space="0" w:color="auto"/>
                <w:bottom w:val="none" w:sz="0" w:space="0" w:color="auto"/>
                <w:right w:val="none" w:sz="0" w:space="0" w:color="auto"/>
              </w:divBdr>
              <w:divsChild>
                <w:div w:id="1907064643">
                  <w:marLeft w:val="0"/>
                  <w:marRight w:val="0"/>
                  <w:marTop w:val="0"/>
                  <w:marBottom w:val="0"/>
                  <w:divBdr>
                    <w:top w:val="none" w:sz="0" w:space="0" w:color="auto"/>
                    <w:left w:val="none" w:sz="0" w:space="0" w:color="auto"/>
                    <w:bottom w:val="none" w:sz="0" w:space="0" w:color="auto"/>
                    <w:right w:val="none" w:sz="0" w:space="0" w:color="auto"/>
                  </w:divBdr>
                  <w:divsChild>
                    <w:div w:id="11195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40299">
      <w:bodyDiv w:val="1"/>
      <w:marLeft w:val="0"/>
      <w:marRight w:val="0"/>
      <w:marTop w:val="0"/>
      <w:marBottom w:val="0"/>
      <w:divBdr>
        <w:top w:val="none" w:sz="0" w:space="0" w:color="auto"/>
        <w:left w:val="none" w:sz="0" w:space="0" w:color="auto"/>
        <w:bottom w:val="none" w:sz="0" w:space="0" w:color="auto"/>
        <w:right w:val="none" w:sz="0" w:space="0" w:color="auto"/>
      </w:divBdr>
    </w:div>
    <w:div w:id="1359427812">
      <w:bodyDiv w:val="1"/>
      <w:marLeft w:val="0"/>
      <w:marRight w:val="0"/>
      <w:marTop w:val="0"/>
      <w:marBottom w:val="0"/>
      <w:divBdr>
        <w:top w:val="none" w:sz="0" w:space="0" w:color="auto"/>
        <w:left w:val="none" w:sz="0" w:space="0" w:color="auto"/>
        <w:bottom w:val="none" w:sz="0" w:space="0" w:color="auto"/>
        <w:right w:val="none" w:sz="0" w:space="0" w:color="auto"/>
      </w:divBdr>
    </w:div>
    <w:div w:id="20372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Vronti</dc:creator>
  <cp:keywords/>
  <dc:description/>
  <cp:lastModifiedBy>Tonia Vronti</cp:lastModifiedBy>
  <cp:revision>2</cp:revision>
  <dcterms:created xsi:type="dcterms:W3CDTF">2024-10-04T10:49:00Z</dcterms:created>
  <dcterms:modified xsi:type="dcterms:W3CDTF">2024-10-04T11:07:00Z</dcterms:modified>
</cp:coreProperties>
</file>