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3E07D" w14:textId="12121736" w:rsidR="0049419C" w:rsidRPr="0049419C" w:rsidRDefault="0049419C" w:rsidP="0049419C">
      <w:pPr>
        <w:jc w:val="both"/>
        <w:rPr>
          <w:rFonts w:ascii="Arial" w:hAnsi="Arial" w:cs="Arial"/>
          <w:i/>
          <w:color w:val="ED7D31" w:themeColor="accent2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Case Study</w:t>
      </w:r>
      <w:r>
        <w:rPr>
          <w:rFonts w:ascii="Arial" w:hAnsi="Arial" w:cs="Arial"/>
          <w:sz w:val="28"/>
          <w:szCs w:val="28"/>
        </w:rPr>
        <w:t xml:space="preserve">: </w:t>
      </w:r>
      <w:r w:rsidRPr="0049419C">
        <w:rPr>
          <w:rFonts w:ascii="Arial" w:hAnsi="Arial" w:cs="Arial"/>
          <w:i/>
          <w:color w:val="ED7D31" w:themeColor="accent2"/>
          <w:sz w:val="28"/>
          <w:szCs w:val="28"/>
        </w:rPr>
        <w:t>Artificial Intelligence &amp; Machine Learning: The Case of Palantir (A Proven Approach to Operational AI)</w:t>
      </w:r>
    </w:p>
    <w:p w14:paraId="6582E381" w14:textId="05DCF5EA" w:rsidR="0049419C" w:rsidRPr="0049419C" w:rsidRDefault="0049419C" w:rsidP="0049419C">
      <w:pPr>
        <w:jc w:val="both"/>
        <w:rPr>
          <w:rFonts w:ascii="Arial" w:hAnsi="Arial" w:cs="Arial"/>
          <w:bCs/>
          <w:i/>
          <w:iCs/>
          <w:color w:val="ED7D31" w:themeColor="accent2"/>
          <w:lang w:val="en-GB" w:bidi="el-GR"/>
        </w:rPr>
      </w:pPr>
      <w:r>
        <w:rPr>
          <w:rFonts w:ascii="Arial" w:hAnsi="Arial" w:cs="Arial"/>
          <w:b/>
          <w:sz w:val="24"/>
          <w:szCs w:val="24"/>
          <w:u w:val="single"/>
          <w:lang w:bidi="el-GR"/>
        </w:rPr>
        <w:t>Overview</w:t>
      </w:r>
      <w:r>
        <w:rPr>
          <w:rFonts w:ascii="Arial" w:hAnsi="Arial" w:cs="Arial"/>
          <w:b/>
          <w:sz w:val="24"/>
          <w:szCs w:val="24"/>
          <w:lang w:bidi="el-GR"/>
        </w:rPr>
        <w:t xml:space="preserve">: </w:t>
      </w:r>
      <w:r w:rsidRPr="0049419C">
        <w:rPr>
          <w:rFonts w:ascii="Arial" w:hAnsi="Arial" w:cs="Arial"/>
          <w:bCs/>
          <w:i/>
          <w:iCs/>
          <w:color w:val="ED7D31" w:themeColor="accent2"/>
          <w:lang w:val="en-GB" w:bidi="el-GR"/>
        </w:rPr>
        <w:t>Palantir Technologies is a leading American company specializing in big data analytics. The company has developed AI-powered platforms that integrate data from multiple sources, offering a comprehensive view of complex systems. These platforms utilize machine learning to analy</w:t>
      </w:r>
      <w:r>
        <w:rPr>
          <w:rFonts w:ascii="Arial" w:hAnsi="Arial" w:cs="Arial"/>
          <w:bCs/>
          <w:i/>
          <w:iCs/>
          <w:color w:val="ED7D31" w:themeColor="accent2"/>
          <w:lang w:val="en-GB" w:bidi="el-GR"/>
        </w:rPr>
        <w:t>s</w:t>
      </w:r>
      <w:r w:rsidRPr="0049419C">
        <w:rPr>
          <w:rFonts w:ascii="Arial" w:hAnsi="Arial" w:cs="Arial"/>
          <w:bCs/>
          <w:i/>
          <w:iCs/>
          <w:color w:val="ED7D31" w:themeColor="accent2"/>
          <w:lang w:val="en-GB" w:bidi="el-GR"/>
        </w:rPr>
        <w:t>e data, uncover patterns, and predict future outcomes, providing organizations with actionable insights for strategic decision-making in real time. This case explores Palantir’s approach to leveraging AI and machine learning to drive data-driven decision-making.</w:t>
      </w:r>
    </w:p>
    <w:p w14:paraId="6C08183D" w14:textId="695EB234" w:rsidR="0049419C" w:rsidRDefault="0049419C" w:rsidP="0049419C">
      <w:pPr>
        <w:rPr>
          <w:rFonts w:ascii="Arial" w:hAnsi="Arial" w:cs="Arial"/>
          <w:b/>
          <w:sz w:val="24"/>
          <w:szCs w:val="24"/>
          <w:u w:val="single"/>
          <w:lang w:bidi="el-GR"/>
        </w:rPr>
      </w:pPr>
    </w:p>
    <w:p w14:paraId="0D96CD88" w14:textId="67786CB0" w:rsidR="0049419C" w:rsidRDefault="0049419C" w:rsidP="0049419C">
      <w:pPr>
        <w:rPr>
          <w:rFonts w:ascii="Arial" w:hAnsi="Arial" w:cs="Arial"/>
          <w:sz w:val="28"/>
          <w:szCs w:val="28"/>
        </w:rPr>
      </w:pPr>
    </w:p>
    <w:p w14:paraId="1F96F9FE" w14:textId="152DFEBC" w:rsidR="0049419C" w:rsidRPr="0049419C" w:rsidRDefault="0049419C" w:rsidP="0049419C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jc w:val="both"/>
        <w:rPr>
          <w:rFonts w:ascii="Arial" w:hAnsi="Arial" w:cs="Arial"/>
          <w:b/>
          <w:lang w:val="en-GB" w:bidi="el-GR"/>
        </w:rPr>
      </w:pPr>
      <w:r>
        <w:rPr>
          <w:rFonts w:ascii="Arial" w:hAnsi="Arial" w:cs="Arial"/>
          <w:b/>
          <w:sz w:val="24"/>
          <w:szCs w:val="24"/>
          <w:u w:val="single"/>
          <w:lang w:bidi="el-GR"/>
        </w:rPr>
        <w:t>Purpose of the Case Study</w:t>
      </w:r>
      <w:r>
        <w:rPr>
          <w:rFonts w:ascii="Arial" w:hAnsi="Arial" w:cs="Arial"/>
          <w:b/>
          <w:sz w:val="24"/>
          <w:szCs w:val="24"/>
          <w:lang w:bidi="el-GR"/>
        </w:rPr>
        <w:t>:</w:t>
      </w:r>
      <w:r>
        <w:rPr>
          <w:rFonts w:ascii="Arial" w:hAnsi="Arial" w:cs="Arial"/>
          <w:b/>
          <w:sz w:val="24"/>
          <w:szCs w:val="24"/>
          <w:lang w:bidi="el-GR"/>
        </w:rPr>
        <w:t xml:space="preserve"> </w:t>
      </w:r>
      <w:r w:rsidRPr="0049419C">
        <w:rPr>
          <w:rFonts w:ascii="Arial" w:hAnsi="Arial" w:cs="Arial"/>
          <w:b/>
          <w:lang w:val="en-GB" w:bidi="el-GR"/>
        </w:rPr>
        <w:t xml:space="preserve">The purpose of this case study is to demonstrate how Palantir uses AI and machine learning to solve complex data challenges across industries. </w:t>
      </w:r>
      <w:r>
        <w:rPr>
          <w:rFonts w:ascii="Arial" w:hAnsi="Arial" w:cs="Arial"/>
          <w:b/>
          <w:lang w:val="en-GB" w:bidi="el-GR"/>
        </w:rPr>
        <w:t>Learners</w:t>
      </w:r>
      <w:r w:rsidRPr="0049419C">
        <w:rPr>
          <w:rFonts w:ascii="Arial" w:hAnsi="Arial" w:cs="Arial"/>
          <w:b/>
          <w:lang w:val="en-GB" w:bidi="el-GR"/>
        </w:rPr>
        <w:t xml:space="preserve"> will explore how the company’s platforms enable real-time, informed decision-making by integrating and analy</w:t>
      </w:r>
      <w:r>
        <w:rPr>
          <w:rFonts w:ascii="Arial" w:hAnsi="Arial" w:cs="Arial"/>
          <w:b/>
          <w:lang w:val="en-GB" w:bidi="el-GR"/>
        </w:rPr>
        <w:t>s</w:t>
      </w:r>
      <w:r w:rsidRPr="0049419C">
        <w:rPr>
          <w:rFonts w:ascii="Arial" w:hAnsi="Arial" w:cs="Arial"/>
          <w:b/>
          <w:lang w:val="en-GB" w:bidi="el-GR"/>
        </w:rPr>
        <w:t>ing large datasets. This case study highlights the importance of data integration, predictive analytics, and AI-driven insights in modern organizations, helping participants understand how these technologies can be applied in real-world settings.</w:t>
      </w:r>
    </w:p>
    <w:p w14:paraId="51E83469" w14:textId="5EF6DB42" w:rsidR="0049419C" w:rsidRDefault="0049419C" w:rsidP="0049419C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rPr>
          <w:rFonts w:ascii="Arial" w:hAnsi="Arial" w:cs="Arial"/>
          <w:b/>
          <w:sz w:val="24"/>
          <w:szCs w:val="24"/>
          <w:lang w:bidi="el-GR"/>
        </w:rPr>
      </w:pPr>
    </w:p>
    <w:p w14:paraId="1664C3DE" w14:textId="7CA1F047" w:rsidR="0049419C" w:rsidRDefault="0049419C" w:rsidP="0049419C">
      <w:pPr>
        <w:rPr>
          <w:rFonts w:ascii="Arial" w:hAnsi="Arial" w:cs="Arial"/>
          <w:b/>
          <w:bCs/>
          <w:sz w:val="24"/>
          <w:szCs w:val="24"/>
          <w:lang w:bidi="el-GR"/>
        </w:rPr>
      </w:pPr>
      <w:r>
        <w:rPr>
          <w:rFonts w:ascii="Arial" w:hAnsi="Arial" w:cs="Arial"/>
          <w:b/>
          <w:bCs/>
          <w:noProof/>
          <w:sz w:val="24"/>
          <w:szCs w:val="24"/>
          <w:lang w:bidi="el-GR"/>
        </w:rPr>
        <mc:AlternateContent>
          <mc:Choice Requires="wps">
            <w:drawing>
              <wp:anchor distT="86995" distB="91440" distL="109220" distR="114300" simplePos="0" relativeHeight="251659264" behindDoc="0" locked="0" layoutInCell="0" allowOverlap="1" wp14:anchorId="79EB5942" wp14:editId="5EEA1D45">
                <wp:simplePos x="0" y="0"/>
                <wp:positionH relativeFrom="margin">
                  <wp:align>right</wp:align>
                </wp:positionH>
                <wp:positionV relativeFrom="paragraph">
                  <wp:posOffset>447675</wp:posOffset>
                </wp:positionV>
                <wp:extent cx="6276340" cy="1710055"/>
                <wp:effectExtent l="0" t="0" r="0" b="4445"/>
                <wp:wrapSquare wrapText="bothSides"/>
                <wp:docPr id="1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17102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998DDCC" w14:textId="77777777" w:rsidR="0049419C" w:rsidRPr="0049419C" w:rsidRDefault="0049419C" w:rsidP="0049419C">
                            <w:pPr>
                              <w:pStyle w:val="FrameContents"/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lang w:val="en-GB" w:bidi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  <w:lang w:bidi="el-GR"/>
                              </w:rPr>
                              <w:t>Background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  <w:lang w:bidi="el-GR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  <w:lang w:bidi="el-GR"/>
                              </w:rPr>
                              <w:t xml:space="preserve"> </w:t>
                            </w:r>
                            <w:r w:rsidRPr="0049419C">
                              <w:rPr>
                                <w:rFonts w:ascii="Arial" w:hAnsi="Arial" w:cs="Arial"/>
                                <w:b/>
                                <w:color w:val="000000"/>
                                <w:lang w:val="en-GB" w:bidi="el-GR"/>
                              </w:rPr>
                              <w:t xml:space="preserve">Organizations today face the challenge of managing and </w:t>
                            </w:r>
                            <w:proofErr w:type="spellStart"/>
                            <w:r w:rsidRPr="0049419C">
                              <w:rPr>
                                <w:rFonts w:ascii="Arial" w:hAnsi="Arial" w:cs="Arial"/>
                                <w:b/>
                                <w:color w:val="000000"/>
                                <w:lang w:val="en-GB" w:bidi="el-GR"/>
                              </w:rPr>
                              <w:t>analyzing</w:t>
                            </w:r>
                            <w:proofErr w:type="spellEnd"/>
                            <w:r w:rsidRPr="0049419C">
                              <w:rPr>
                                <w:rFonts w:ascii="Arial" w:hAnsi="Arial" w:cs="Arial"/>
                                <w:b/>
                                <w:color w:val="000000"/>
                                <w:lang w:val="en-GB" w:bidi="el-GR"/>
                              </w:rPr>
                              <w:t xml:space="preserve"> vast amounts of data from various sources. Many struggle to derive meaningful insights that can impact operations and decision-making. Palantir’s AI-powered platforms are designed to address this issue by integrating data, using machine learning to uncover patterns and predict outcomes. These platforms support decision-makers by providing a holistic understanding of their data, enabling them to respond quickly and effectively in dynamic environments. Palantir's tools are used across diverse sectors, including government, healthcare, finance, and </w:t>
                            </w:r>
                            <w:proofErr w:type="spellStart"/>
                            <w:r w:rsidRPr="0049419C">
                              <w:rPr>
                                <w:rFonts w:ascii="Arial" w:hAnsi="Arial" w:cs="Arial"/>
                                <w:b/>
                                <w:color w:val="000000"/>
                                <w:lang w:val="en-GB" w:bidi="el-GR"/>
                              </w:rPr>
                              <w:t>defense</w:t>
                            </w:r>
                            <w:proofErr w:type="spellEnd"/>
                            <w:r w:rsidRPr="0049419C">
                              <w:rPr>
                                <w:rFonts w:ascii="Arial" w:hAnsi="Arial" w:cs="Arial"/>
                                <w:b/>
                                <w:color w:val="000000"/>
                                <w:lang w:val="en-GB" w:bidi="el-GR"/>
                              </w:rPr>
                              <w:t>, highlighting the broad applicability of its solutions.</w:t>
                            </w:r>
                          </w:p>
                          <w:p w14:paraId="47F19313" w14:textId="48818AB0" w:rsidR="0049419C" w:rsidRPr="0049419C" w:rsidRDefault="0049419C" w:rsidP="0049419C">
                            <w:pPr>
                              <w:pStyle w:val="FrameContents"/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B5942" id="Πλαίσιο κειμένου 2" o:spid="_x0000_s1026" style="position:absolute;margin-left:443pt;margin-top:35.25pt;width:494.2pt;height:134.65pt;z-index:251659264;visibility:visible;mso-wrap-style:square;mso-height-percent:0;mso-wrap-distance-left:8.6pt;mso-wrap-distance-top:6.85pt;mso-wrap-distance-right:9pt;mso-wrap-distance-bottom:7.2pt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" o:allowincell="f" filled="f" stroked="f">
                <v:textbox>
                  <w:txbxContent>
                    <w:p w14:paraId="0998DDCC" w14:textId="77777777" w:rsidR="0049419C" w:rsidRPr="0049419C" w:rsidRDefault="0049419C" w:rsidP="0049419C">
                      <w:pPr>
                        <w:pStyle w:val="FrameContents"/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both"/>
                        <w:rPr>
                          <w:rFonts w:ascii="Arial" w:hAnsi="Arial" w:cs="Arial"/>
                          <w:b/>
                          <w:color w:val="000000"/>
                          <w:lang w:val="en-GB" w:bidi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  <w:u w:val="single"/>
                          <w:lang w:bidi="el-GR"/>
                        </w:rPr>
                        <w:t>Background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  <w:lang w:bidi="el-GR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  <w:lang w:bidi="el-GR"/>
                        </w:rPr>
                        <w:t xml:space="preserve"> </w:t>
                      </w:r>
                      <w:r w:rsidRPr="0049419C">
                        <w:rPr>
                          <w:rFonts w:ascii="Arial" w:hAnsi="Arial" w:cs="Arial"/>
                          <w:b/>
                          <w:color w:val="000000"/>
                          <w:lang w:val="en-GB" w:bidi="el-GR"/>
                        </w:rPr>
                        <w:t xml:space="preserve">Organizations today face the challenge of managing and </w:t>
                      </w:r>
                      <w:proofErr w:type="spellStart"/>
                      <w:r w:rsidRPr="0049419C">
                        <w:rPr>
                          <w:rFonts w:ascii="Arial" w:hAnsi="Arial" w:cs="Arial"/>
                          <w:b/>
                          <w:color w:val="000000"/>
                          <w:lang w:val="en-GB" w:bidi="el-GR"/>
                        </w:rPr>
                        <w:t>analyzing</w:t>
                      </w:r>
                      <w:proofErr w:type="spellEnd"/>
                      <w:r w:rsidRPr="0049419C">
                        <w:rPr>
                          <w:rFonts w:ascii="Arial" w:hAnsi="Arial" w:cs="Arial"/>
                          <w:b/>
                          <w:color w:val="000000"/>
                          <w:lang w:val="en-GB" w:bidi="el-GR"/>
                        </w:rPr>
                        <w:t xml:space="preserve"> vast amounts of data from various sources. Many struggle to derive meaningful insights that can impact operations and decision-making. Palantir’s AI-powered platforms are designed to address this issue by integrating data, using machine learning to uncover patterns and predict outcomes. These platforms support decision-makers by providing a holistic understanding of their data, enabling them to respond quickly and effectively in dynamic environments. Palantir's tools are used across diverse sectors, including government, healthcare, finance, and </w:t>
                      </w:r>
                      <w:proofErr w:type="spellStart"/>
                      <w:r w:rsidRPr="0049419C">
                        <w:rPr>
                          <w:rFonts w:ascii="Arial" w:hAnsi="Arial" w:cs="Arial"/>
                          <w:b/>
                          <w:color w:val="000000"/>
                          <w:lang w:val="en-GB" w:bidi="el-GR"/>
                        </w:rPr>
                        <w:t>defense</w:t>
                      </w:r>
                      <w:proofErr w:type="spellEnd"/>
                      <w:r w:rsidRPr="0049419C">
                        <w:rPr>
                          <w:rFonts w:ascii="Arial" w:hAnsi="Arial" w:cs="Arial"/>
                          <w:b/>
                          <w:color w:val="000000"/>
                          <w:lang w:val="en-GB" w:bidi="el-GR"/>
                        </w:rPr>
                        <w:t>, highlighting the broad applicability of its solutions.</w:t>
                      </w:r>
                    </w:p>
                    <w:p w14:paraId="47F19313" w14:textId="48818AB0" w:rsidR="0049419C" w:rsidRPr="0049419C" w:rsidRDefault="0049419C" w:rsidP="0049419C">
                      <w:pPr>
                        <w:pStyle w:val="FrameContents"/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32BAE5C1" w14:textId="03421648" w:rsidR="0049419C" w:rsidRDefault="0049419C" w:rsidP="0049419C">
      <w:pPr>
        <w:rPr>
          <w:rFonts w:ascii="Arial" w:hAnsi="Arial" w:cs="Arial"/>
          <w:sz w:val="24"/>
          <w:szCs w:val="24"/>
        </w:rPr>
      </w:pPr>
    </w:p>
    <w:p w14:paraId="470CE93E" w14:textId="77777777" w:rsidR="0049419C" w:rsidRDefault="0049419C" w:rsidP="0049419C">
      <w:pPr>
        <w:rPr>
          <w:rFonts w:ascii="Arial" w:hAnsi="Arial" w:cs="Arial"/>
          <w:i/>
          <w:shd w:val="clear" w:color="auto" w:fill="FFFFFF"/>
        </w:rPr>
      </w:pPr>
    </w:p>
    <w:p w14:paraId="555CB7FA" w14:textId="77777777" w:rsidR="0049419C" w:rsidRDefault="0049419C" w:rsidP="0049419C">
      <w:pPr>
        <w:rPr>
          <w:rFonts w:ascii="Arial" w:hAnsi="Arial" w:cs="Arial"/>
          <w:i/>
        </w:rPr>
      </w:pPr>
    </w:p>
    <w:p w14:paraId="610AE475" w14:textId="77777777" w:rsidR="0049419C" w:rsidRDefault="0049419C" w:rsidP="0049419C"/>
    <w:p w14:paraId="3F379F4B" w14:textId="20922447" w:rsidR="00AE4666" w:rsidRDefault="00506EE4"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86995" distB="110490" distL="114300" distR="114300" simplePos="0" relativeHeight="251660288" behindDoc="0" locked="0" layoutInCell="0" allowOverlap="1" wp14:anchorId="3675F104" wp14:editId="70A50726">
                <wp:simplePos x="0" y="0"/>
                <wp:positionH relativeFrom="page">
                  <wp:posOffset>675640</wp:posOffset>
                </wp:positionH>
                <wp:positionV relativeFrom="paragraph">
                  <wp:posOffset>423</wp:posOffset>
                </wp:positionV>
                <wp:extent cx="6473190" cy="5376333"/>
                <wp:effectExtent l="0" t="0" r="0" b="0"/>
                <wp:wrapTopAndBottom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3190" cy="53763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548F90B" w14:textId="77777777" w:rsidR="0049419C" w:rsidRDefault="0049419C" w:rsidP="00506EE4">
                            <w:pPr>
                              <w:pStyle w:val="FrameContents"/>
                              <w:pBdr>
                                <w:top w:val="single" w:sz="24" w:space="8" w:color="4472C4" w:themeColor="accent1"/>
                                <w:bottom w:val="single" w:sz="24" w:space="19" w:color="4472C4" w:themeColor="accent1"/>
                              </w:pBd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bidi="el-GR"/>
                              </w:rPr>
                            </w:pPr>
                            <w:bookmarkStart w:id="0" w:name="__DdeLink__265_894894886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  <w:lang w:bidi="el-GR"/>
                              </w:rPr>
                              <w:t>Task for Participants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  <w:lang w:bidi="el-GR"/>
                              </w:rPr>
                              <w:t>:</w:t>
                            </w:r>
                            <w:bookmarkEnd w:id="0"/>
                          </w:p>
                          <w:p w14:paraId="63B0CE0E" w14:textId="46E53C40" w:rsidR="0049419C" w:rsidRDefault="0049419C" w:rsidP="00506EE4">
                            <w:pPr>
                              <w:pStyle w:val="FrameContents"/>
                              <w:pBdr>
                                <w:top w:val="single" w:sz="24" w:space="8" w:color="4472C4" w:themeColor="accent1"/>
                                <w:bottom w:val="single" w:sz="24" w:space="19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   </w:t>
                            </w:r>
                          </w:p>
                          <w:p w14:paraId="6F90AC31" w14:textId="77EC6E05" w:rsidR="0049419C" w:rsidRDefault="0049419C" w:rsidP="00506EE4">
                            <w:pPr>
                              <w:pStyle w:val="FrameContents"/>
                              <w:pBdr>
                                <w:top w:val="single" w:sz="24" w:space="8" w:color="4472C4" w:themeColor="accent1"/>
                                <w:bottom w:val="single" w:sz="24" w:space="19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Learners must read the case study of Palantir Technologies Inc., details of which can be found here: </w:t>
                            </w:r>
                            <w:hyperlink r:id="rId5" w:history="1">
                              <w:r w:rsidRPr="00506EE4">
                                <w:rPr>
                                  <w:rStyle w:val="Hyperlink"/>
                                  <w:i/>
                                  <w:iCs/>
                                  <w:color w:val="FF0000"/>
                                  <w:sz w:val="24"/>
                                </w:rPr>
                                <w:t>https://www.palantir.com/offerings/ai-ml/</w:t>
                              </w:r>
                            </w:hyperlink>
                            <w:r w:rsidRPr="00506EE4">
                              <w:rPr>
                                <w:i/>
                                <w:iCs/>
                                <w:color w:val="FF0000"/>
                                <w:sz w:val="24"/>
                              </w:rPr>
                              <w:t xml:space="preserve"> , 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and answer the following three questions:</w:t>
                            </w:r>
                          </w:p>
                          <w:p w14:paraId="402B5DBC" w14:textId="21E8B402" w:rsidR="0049419C" w:rsidRDefault="0049419C" w:rsidP="0049419C">
                            <w:pPr>
                              <w:pStyle w:val="FrameContents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How does Palantir utilize AI and ML technology to operationalize data and improve decision-making processes within organizations?</w:t>
                            </w:r>
                          </w:p>
                          <w:p w14:paraId="64A83D3F" w14:textId="2FE2EE82" w:rsidR="0049419C" w:rsidRDefault="00506EE4" w:rsidP="0049419C">
                            <w:pPr>
                              <w:pStyle w:val="FrameContents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What is innovative about Palantir’s approach to AI and ML, particularly in its use of Micro Models and integration with organizational objectives?</w:t>
                            </w:r>
                          </w:p>
                          <w:p w14:paraId="7671C6CD" w14:textId="76A85087" w:rsidR="00506EE4" w:rsidRDefault="00506EE4" w:rsidP="0049419C">
                            <w:pPr>
                              <w:pStyle w:val="FrameContents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How does Palantir’s AI technology enable the deployment of models in real-world settings, particularly in environments like IoT and edge computing?</w:t>
                            </w:r>
                          </w:p>
                          <w:p w14:paraId="22A44654" w14:textId="77777777" w:rsidR="0049419C" w:rsidRDefault="0049419C" w:rsidP="0049419C">
                            <w:pPr>
                              <w:pStyle w:val="FrameContents"/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5F104" id="_x0000_s1027" style="position:absolute;margin-left:53.2pt;margin-top:.05pt;width:509.7pt;height:423.35pt;z-index:251660288;visibility:visible;mso-wrap-style:square;mso-height-percent:0;mso-wrap-distance-left:9pt;mso-wrap-distance-top:6.85pt;mso-wrap-distance-right:9pt;mso-wrap-distance-bottom:8.7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" o:allowincell="f" filled="f" stroked="f">
                <v:textbox>
                  <w:txbxContent>
                    <w:p w14:paraId="4548F90B" w14:textId="77777777" w:rsidR="0049419C" w:rsidRDefault="0049419C" w:rsidP="00506EE4">
                      <w:pPr>
                        <w:pStyle w:val="FrameContents"/>
                        <w:pBdr>
                          <w:top w:val="single" w:sz="24" w:space="8" w:color="4472C4" w:themeColor="accent1"/>
                          <w:bottom w:val="single" w:sz="24" w:space="19" w:color="4472C4" w:themeColor="accent1"/>
                        </w:pBd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bidi="el-GR"/>
                        </w:rPr>
                      </w:pPr>
                      <w:bookmarkStart w:id="1" w:name="__DdeLink__265_894894886"/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  <w:u w:val="single"/>
                          <w:lang w:bidi="el-GR"/>
                        </w:rPr>
                        <w:t>Task for Participants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  <w:lang w:bidi="el-GR"/>
                        </w:rPr>
                        <w:t>:</w:t>
                      </w:r>
                      <w:bookmarkEnd w:id="1"/>
                    </w:p>
                    <w:p w14:paraId="63B0CE0E" w14:textId="46E53C40" w:rsidR="0049419C" w:rsidRDefault="0049419C" w:rsidP="00506EE4">
                      <w:pPr>
                        <w:pStyle w:val="FrameContents"/>
                        <w:pBdr>
                          <w:top w:val="single" w:sz="24" w:space="8" w:color="4472C4" w:themeColor="accent1"/>
                          <w:bottom w:val="single" w:sz="24" w:space="19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 xml:space="preserve">   </w:t>
                      </w:r>
                    </w:p>
                    <w:p w14:paraId="6F90AC31" w14:textId="77EC6E05" w:rsidR="0049419C" w:rsidRDefault="0049419C" w:rsidP="00506EE4">
                      <w:pPr>
                        <w:pStyle w:val="FrameContents"/>
                        <w:pBdr>
                          <w:top w:val="single" w:sz="24" w:space="8" w:color="4472C4" w:themeColor="accent1"/>
                          <w:bottom w:val="single" w:sz="24" w:space="19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 xml:space="preserve">Learners must read the case study of Palantir Technologies Inc., details of which can be found here: </w:t>
                      </w:r>
                      <w:hyperlink r:id="rId6" w:history="1">
                        <w:r w:rsidRPr="00506EE4">
                          <w:rPr>
                            <w:rStyle w:val="Hyperlink"/>
                            <w:i/>
                            <w:iCs/>
                            <w:color w:val="FF0000"/>
                            <w:sz w:val="24"/>
                          </w:rPr>
                          <w:t>https://www.palantir.com/offerings/ai-ml/</w:t>
                        </w:r>
                      </w:hyperlink>
                      <w:r w:rsidRPr="00506EE4">
                        <w:rPr>
                          <w:i/>
                          <w:iCs/>
                          <w:color w:val="FF0000"/>
                          <w:sz w:val="24"/>
                        </w:rPr>
                        <w:t xml:space="preserve"> , </w:t>
                      </w:r>
                      <w:r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>and answer the following three questions:</w:t>
                      </w:r>
                    </w:p>
                    <w:p w14:paraId="402B5DBC" w14:textId="21E8B402" w:rsidR="0049419C" w:rsidRDefault="0049419C" w:rsidP="0049419C">
                      <w:pPr>
                        <w:pStyle w:val="FrameContents"/>
                        <w:numPr>
                          <w:ilvl w:val="0"/>
                          <w:numId w:val="1"/>
                        </w:num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>How does Palantir utilize AI and ML technology to operationalize data and improve decision-making processes within organizations?</w:t>
                      </w:r>
                    </w:p>
                    <w:p w14:paraId="64A83D3F" w14:textId="2FE2EE82" w:rsidR="0049419C" w:rsidRDefault="00506EE4" w:rsidP="0049419C">
                      <w:pPr>
                        <w:pStyle w:val="FrameContents"/>
                        <w:numPr>
                          <w:ilvl w:val="0"/>
                          <w:numId w:val="1"/>
                        </w:num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>What is innovative about Palantir’s approach to AI and ML, particularly in its use of Micro Models and integration with organizational objectives?</w:t>
                      </w:r>
                    </w:p>
                    <w:p w14:paraId="7671C6CD" w14:textId="76A85087" w:rsidR="00506EE4" w:rsidRDefault="00506EE4" w:rsidP="0049419C">
                      <w:pPr>
                        <w:pStyle w:val="FrameContents"/>
                        <w:numPr>
                          <w:ilvl w:val="0"/>
                          <w:numId w:val="1"/>
                        </w:num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>How does Palantir’s AI technology enable the deployment of models in real-world settings, particularly in environments like IoT and edge computing?</w:t>
                      </w:r>
                    </w:p>
                    <w:p w14:paraId="22A44654" w14:textId="77777777" w:rsidR="0049419C" w:rsidRDefault="0049419C" w:rsidP="0049419C">
                      <w:pPr>
                        <w:pStyle w:val="FrameContents"/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sectPr w:rsidR="00AE46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546CF"/>
    <w:multiLevelType w:val="hybridMultilevel"/>
    <w:tmpl w:val="BAE2E198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8214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9C"/>
    <w:rsid w:val="0049419C"/>
    <w:rsid w:val="00506EE4"/>
    <w:rsid w:val="0065484B"/>
    <w:rsid w:val="00714EC4"/>
    <w:rsid w:val="00AE4666"/>
    <w:rsid w:val="00D1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90509"/>
  <w15:chartTrackingRefBased/>
  <w15:docId w15:val="{6A3C7815-6311-441A-BC84-72243F78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19C"/>
    <w:pPr>
      <w:suppressAutoHyphens/>
      <w:spacing w:after="200" w:line="276" w:lineRule="auto"/>
    </w:pPr>
    <w:rPr>
      <w:rFonts w:ascii="Calibri" w:eastAsiaTheme="minorEastAsia" w:hAnsi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qFormat/>
    <w:rsid w:val="0049419C"/>
  </w:style>
  <w:style w:type="paragraph" w:styleId="NormalWeb">
    <w:name w:val="Normal (Web)"/>
    <w:basedOn w:val="Normal"/>
    <w:uiPriority w:val="99"/>
    <w:semiHidden/>
    <w:unhideWhenUsed/>
    <w:rsid w:val="0049419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41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lantir.com/offerings/ai-ml/" TargetMode="External"/><Relationship Id="rId5" Type="http://schemas.openxmlformats.org/officeDocument/2006/relationships/hyperlink" Target="https://www.palantir.com/offerings/ai-m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Vronti</dc:creator>
  <cp:keywords/>
  <dc:description/>
  <cp:lastModifiedBy>Tonia Vronti</cp:lastModifiedBy>
  <cp:revision>1</cp:revision>
  <dcterms:created xsi:type="dcterms:W3CDTF">2024-09-12T06:56:00Z</dcterms:created>
  <dcterms:modified xsi:type="dcterms:W3CDTF">2024-09-12T07:19:00Z</dcterms:modified>
</cp:coreProperties>
</file>